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Layout w:type="fixed"/>
      </w:tblPr>
      <w:tblGrid>
        <w:gridCol w:w="5069"/>
        <w:gridCol w:w="1285"/>
        <w:gridCol w:w="3857"/>
      </w:tblGrid>
      <w:tr>
        <w:trPr>
          <w:trHeight w:hRule="atLeast" w:val="1453"/>
        </w:trPr>
        <w:tc>
          <w:tcPr>
            <w:tcW w:type="dxa" w:w="5069"/>
          </w:tcPr>
          <w:p w14:paraId="01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>СЕЛЬСКАЯ АДМИНИСТРАЦИЯ</w:t>
            </w:r>
          </w:p>
          <w:p w14:paraId="02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>МУНИЦИПАЛЬНОГО ОБРАЗОВАНИЯ</w:t>
            </w:r>
            <w:r>
              <w:rPr>
                <w:b w:val="1"/>
              </w:rPr>
              <w:t xml:space="preserve"> </w:t>
            </w:r>
          </w:p>
          <w:p w14:paraId="03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КАРАГАЙСКОГО СЕЛЬСКОГО ПОСЕЛЕНИЯ</w:t>
            </w:r>
          </w:p>
          <w:p w14:paraId="04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УСТЬ-КОКСИНСК</w:t>
            </w:r>
            <w:r>
              <w:rPr>
                <w:b w:val="1"/>
              </w:rPr>
              <w:t>ОГО</w:t>
            </w:r>
            <w:r>
              <w:rPr>
                <w:b w:val="1"/>
              </w:rPr>
              <w:t xml:space="preserve"> РАЙОН</w:t>
            </w:r>
            <w:r>
              <w:rPr>
                <w:b w:val="1"/>
              </w:rPr>
              <w:t>А</w:t>
            </w:r>
          </w:p>
          <w:p w14:paraId="05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4294967295" distL="114300" distR="114300" distT="4294967295" layoutInCell="true" locked="false" relativeHeight="251658240" simplePos="fals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243204</wp:posOffset>
                      </wp:positionV>
                      <wp:extent cx="6400800" cy="0"/>
                      <wp:wrapNone/>
                      <wp:docPr hidden="false" id="1" name="Picture 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000080"/>
                                </a:solidFill>
                                <a:headEnd len="med" type="none" w="med"/>
                                <a:tailEnd len="med" type="none" w="med"/>
                              </a:ln>
                            </wps:spPr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b w:val="1"/>
              </w:rPr>
              <w:t>РЕСПУБЛИК</w:t>
            </w:r>
            <w:r>
              <w:rPr>
                <w:b w:val="1"/>
              </w:rPr>
              <w:t>И</w:t>
            </w:r>
            <w:r>
              <w:rPr>
                <w:b w:val="1"/>
              </w:rPr>
              <w:t xml:space="preserve"> АЛТАЙ</w:t>
            </w:r>
          </w:p>
        </w:tc>
        <w:tc>
          <w:tcPr>
            <w:tcW w:type="dxa" w:w="1285"/>
          </w:tcPr>
          <w:p w14:paraId="06000000">
            <w:pPr>
              <w:ind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type="dxa" w:w="3857"/>
          </w:tcPr>
          <w:p w14:paraId="07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>АЛТАЙ РЕСПУБЛИКА</w:t>
            </w:r>
            <w:r>
              <w:rPr>
                <w:b w:val="1"/>
              </w:rPr>
              <w:t>НЫ</w:t>
            </w:r>
            <w:r>
              <w:rPr>
                <w:b w:val="1"/>
                <w:spacing w:val="-100"/>
              </w:rPr>
              <w:t>НГ</w:t>
            </w:r>
          </w:p>
          <w:p w14:paraId="08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>КÖКСУУ-ООЗЫ АЙМА</w:t>
            </w:r>
            <w:r>
              <w:rPr>
                <w:b w:val="1"/>
              </w:rPr>
              <w:t>ГЫНДА</w:t>
            </w:r>
          </w:p>
          <w:p w14:paraId="09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МУНИЦИПАЛ </w:t>
            </w:r>
            <w:r>
              <w:rPr>
                <w:b w:val="1"/>
              </w:rPr>
              <w:t xml:space="preserve"> ТÖЗÖМÖ</w:t>
            </w:r>
          </w:p>
          <w:p w14:paraId="0A000000">
            <w:pPr>
              <w:pStyle w:val="Style_2"/>
              <w:tabs>
                <w:tab w:leader="none" w:pos="4153" w:val="clear"/>
                <w:tab w:leader="none" w:pos="8306" w:val="clear"/>
              </w:tabs>
              <w:ind/>
              <w:jc w:val="center"/>
            </w:pPr>
            <w:r>
              <w:rPr>
                <w:b w:val="1"/>
              </w:rPr>
              <w:t xml:space="preserve">КАРАГАЙДАГЫ </w:t>
            </w:r>
            <w:r>
              <w:rPr>
                <w:b w:val="1"/>
              </w:rPr>
              <w:t>J</w:t>
            </w:r>
            <w:r>
              <w:rPr>
                <w:b w:val="1"/>
              </w:rPr>
              <w:t>УРТ ЭЭЛЕМИНИ</w:t>
            </w:r>
            <w:r>
              <w:rPr>
                <w:b w:val="1"/>
                <w:spacing w:val="-100"/>
              </w:rPr>
              <w:t>НГ</w:t>
            </w:r>
          </w:p>
          <w:p w14:paraId="0B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J</w:t>
            </w:r>
            <w:r>
              <w:rPr>
                <w:rFonts w:ascii="Times New Roman" w:hAnsi="Times New Roman"/>
                <w:b w:val="1"/>
                <w:sz w:val="20"/>
              </w:rPr>
              <w:t>УРТ АДМИНИСТРАЦИЯЗЫ</w:t>
            </w:r>
          </w:p>
        </w:tc>
      </w:tr>
    </w:tbl>
    <w:p w14:paraId="0C000000">
      <w:pPr>
        <w:pStyle w:val="Style_2"/>
        <w:tabs>
          <w:tab w:leader="none" w:pos="4153" w:val="clear"/>
          <w:tab w:leader="none" w:pos="8306" w:val="clear"/>
        </w:tabs>
        <w:ind/>
        <w:jc w:val="center"/>
        <w:rPr>
          <w:sz w:val="18"/>
        </w:rPr>
      </w:pPr>
      <w:r>
        <w:rPr>
          <w:sz w:val="18"/>
        </w:rPr>
        <w:t>649497, Республика Алтай, Усть-Коксинский район, с.Карагай, ул.Амбулаторная 12/1</w:t>
      </w:r>
    </w:p>
    <w:p w14:paraId="0D000000">
      <w:pPr>
        <w:pStyle w:val="Style_2"/>
        <w:tabs>
          <w:tab w:leader="none" w:pos="4153" w:val="clear"/>
          <w:tab w:leader="none" w:pos="8306" w:val="clear"/>
        </w:tabs>
        <w:spacing w:line="360" w:lineRule="auto"/>
        <w:ind/>
        <w:jc w:val="center"/>
        <w:rPr>
          <w:sz w:val="18"/>
        </w:rPr>
      </w:pPr>
      <w:r>
        <w:rPr>
          <w:sz w:val="18"/>
        </w:rPr>
        <w:t>Тел</w:t>
      </w:r>
      <w:r>
        <w:rPr>
          <w:sz w:val="18"/>
        </w:rPr>
        <w:t>/</w:t>
      </w:r>
      <w:r>
        <w:rPr>
          <w:sz w:val="18"/>
        </w:rPr>
        <w:t>факс</w:t>
      </w:r>
      <w:r>
        <w:rPr>
          <w:sz w:val="18"/>
        </w:rPr>
        <w:t xml:space="preserve"> 8 (38848) 26592 </w:t>
      </w:r>
      <w:r>
        <w:rPr>
          <w:sz w:val="18"/>
        </w:rPr>
        <w:t>E</w:t>
      </w:r>
      <w:r>
        <w:rPr>
          <w:sz w:val="18"/>
        </w:rPr>
        <w:t>-</w:t>
      </w:r>
      <w:r>
        <w:rPr>
          <w:sz w:val="18"/>
        </w:rPr>
        <w:t>mail</w:t>
      </w:r>
      <w:r>
        <w:rPr>
          <w:sz w:val="18"/>
        </w:rPr>
        <w:t xml:space="preserve">: </w:t>
      </w:r>
      <w:r>
        <w:rPr>
          <w:sz w:val="18"/>
        </w:rPr>
        <w:t>649497karagai</w:t>
      </w:r>
      <w:r>
        <w:rPr>
          <w:sz w:val="18"/>
        </w:rPr>
        <w:t>@</w:t>
      </w:r>
      <w:r>
        <w:rPr>
          <w:sz w:val="18"/>
        </w:rPr>
        <w:t>mail</w:t>
      </w:r>
      <w:r>
        <w:rPr>
          <w:sz w:val="18"/>
        </w:rPr>
        <w:t>.</w:t>
      </w:r>
      <w:r>
        <w:rPr>
          <w:sz w:val="18"/>
        </w:rPr>
        <w:t>ru</w:t>
      </w:r>
    </w:p>
    <w:p w14:paraId="0E000000">
      <w:pPr>
        <w:pStyle w:val="Style_2"/>
        <w:tabs>
          <w:tab w:leader="none" w:pos="4153" w:val="clear"/>
          <w:tab w:leader="none" w:pos="8306" w:val="clear"/>
        </w:tabs>
        <w:spacing w:line="360" w:lineRule="auto"/>
        <w:ind/>
        <w:rPr>
          <w:b w:val="1"/>
          <w:sz w:val="16"/>
        </w:rPr>
      </w:pPr>
    </w:p>
    <w:p w14:paraId="0F000000">
      <w:pPr>
        <w:pStyle w:val="Style_2"/>
        <w:tabs>
          <w:tab w:leader="none" w:pos="4153" w:val="clear"/>
          <w:tab w:leader="none" w:pos="8306" w:val="clear"/>
        </w:tabs>
        <w:spacing w:line="360" w:lineRule="auto"/>
        <w:ind/>
        <w:rPr>
          <w:b w:val="1"/>
          <w:sz w:val="24"/>
        </w:rPr>
      </w:pPr>
      <w:r>
        <w:rPr>
          <w:b w:val="1"/>
          <w:sz w:val="32"/>
        </w:rPr>
        <w:t xml:space="preserve"> </w:t>
      </w:r>
      <w:r>
        <w:rPr>
          <w:b w:val="1"/>
          <w:sz w:val="32"/>
        </w:rPr>
        <w:tab/>
      </w:r>
      <w:r>
        <w:rPr>
          <w:b w:val="1"/>
          <w:sz w:val="32"/>
        </w:rPr>
        <w:t xml:space="preserve">ПРОЕКТ     </w:t>
      </w:r>
      <w:r>
        <w:rPr>
          <w:b w:val="1"/>
          <w:sz w:val="32"/>
        </w:rPr>
        <w:t>РАСПОРЯЖЕНИЕ</w:t>
      </w:r>
      <w:r>
        <w:rPr>
          <w:b w:val="1"/>
          <w:sz w:val="32"/>
        </w:rPr>
        <w:t xml:space="preserve">                              </w:t>
      </w:r>
      <w:r>
        <w:rPr>
          <w:b w:val="1"/>
          <w:sz w:val="32"/>
        </w:rPr>
        <w:t xml:space="preserve">    </w:t>
      </w:r>
      <w:r>
        <w:rPr>
          <w:b w:val="1"/>
          <w:sz w:val="32"/>
        </w:rPr>
        <w:t>J</w:t>
      </w:r>
      <w:r>
        <w:rPr>
          <w:b w:val="1"/>
          <w:sz w:val="32"/>
        </w:rPr>
        <w:t>АКААН</w:t>
      </w:r>
    </w:p>
    <w:p w14:paraId="10000000">
      <w:pPr>
        <w:pStyle w:val="Style_2"/>
        <w:tabs>
          <w:tab w:leader="none" w:pos="4153" w:val="clear"/>
          <w:tab w:leader="none" w:pos="8306" w:val="clear"/>
        </w:tabs>
        <w:spacing w:after="240" w:line="276" w:lineRule="auto"/>
        <w:ind/>
        <w:jc w:val="center"/>
        <w:rPr>
          <w:sz w:val="24"/>
        </w:rPr>
      </w:pPr>
      <w:r>
        <w:rPr>
          <w:sz w:val="24"/>
        </w:rPr>
        <w:t>от «</w:t>
      </w:r>
      <w:r>
        <w:rPr>
          <w:sz w:val="24"/>
        </w:rPr>
        <w:t>00</w:t>
      </w:r>
      <w:r>
        <w:rPr>
          <w:sz w:val="24"/>
        </w:rPr>
        <w:t xml:space="preserve">» </w:t>
      </w:r>
      <w:r>
        <w:rPr>
          <w:sz w:val="24"/>
        </w:rPr>
        <w:t>00</w:t>
      </w:r>
      <w:r>
        <w:rPr>
          <w:sz w:val="24"/>
        </w:rPr>
        <w:t xml:space="preserve"> 202</w:t>
      </w:r>
      <w:r>
        <w:rPr>
          <w:sz w:val="24"/>
        </w:rPr>
        <w:t>6</w:t>
      </w:r>
      <w:r>
        <w:rPr>
          <w:sz w:val="24"/>
        </w:rPr>
        <w:t xml:space="preserve"> г.        №</w:t>
      </w: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4928"/>
      </w:tblGrid>
      <w:tr>
        <w:trPr>
          <w:trHeight w:hRule="atLeast" w:val="1744"/>
        </w:trPr>
        <w:tc>
          <w:tcPr>
            <w:tcW w:type="dxa" w:w="492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1000000">
            <w:pPr>
              <w:ind/>
              <w:jc w:val="both"/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>МО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 Карагайского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 сельско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>го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>поселени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>я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 на 202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>7</w:t>
            </w:r>
            <w:r>
              <w:rPr>
                <w:rFonts w:ascii="Times New Roman" w:hAnsi="Times New Roman"/>
                <w:b w:val="1"/>
                <w:color w:themeColor="text1" w:themeShade="80" w:val="000000"/>
                <w:sz w:val="24"/>
              </w:rPr>
              <w:t xml:space="preserve"> год»</w:t>
            </w:r>
          </w:p>
        </w:tc>
      </w:tr>
    </w:tbl>
    <w:p w14:paraId="12000000">
      <w:pPr>
        <w:tabs>
          <w:tab w:leader="none" w:pos="284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13000000">
      <w:pPr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/>
          <w:sz w:val="24"/>
        </w:rPr>
        <w:t xml:space="preserve">руководствуясь </w:t>
      </w:r>
      <w:r>
        <w:rPr>
          <w:rFonts w:ascii="Times New Roman" w:hAnsi="Times New Roman"/>
          <w:sz w:val="24"/>
        </w:rPr>
        <w:t xml:space="preserve">Федеральным Законом </w:t>
      </w:r>
      <w:r>
        <w:rPr>
          <w:rFonts w:ascii="Times New Roman" w:hAnsi="Times New Roman"/>
          <w:sz w:val="24"/>
        </w:rPr>
        <w:t>от 20.03.2025 г.</w:t>
      </w:r>
      <w:r>
        <w:rPr>
          <w:rFonts w:ascii="Times New Roman" w:hAnsi="Times New Roman"/>
          <w:sz w:val="24"/>
        </w:rPr>
        <w:t xml:space="preserve"> №33-</w:t>
      </w:r>
      <w:r>
        <w:rPr>
          <w:rFonts w:ascii="Times New Roman" w:hAnsi="Times New Roman"/>
          <w:sz w:val="24"/>
        </w:rPr>
        <w:t>ФЗ  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сельского Совета депутатов </w:t>
      </w:r>
      <w:r>
        <w:rPr>
          <w:rFonts w:ascii="Times New Roman" w:hAnsi="Times New Roman"/>
          <w:sz w:val="24"/>
        </w:rPr>
        <w:t>МО Карагайского</w:t>
      </w:r>
      <w:r>
        <w:rPr>
          <w:rFonts w:ascii="Times New Roman" w:hAnsi="Times New Roman"/>
          <w:sz w:val="24"/>
        </w:rPr>
        <w:t xml:space="preserve"> сельского поселения от 09</w:t>
      </w:r>
      <w:r>
        <w:rPr>
          <w:rFonts w:ascii="Times New Roman" w:hAnsi="Times New Roman"/>
          <w:sz w:val="24"/>
        </w:rPr>
        <w:t>.12.2021 г.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21-06 </w:t>
      </w:r>
      <w:r>
        <w:rPr>
          <w:rFonts w:ascii="Times New Roman" w:hAnsi="Times New Roman"/>
          <w:sz w:val="24"/>
        </w:rPr>
        <w:t xml:space="preserve">«Об утверждении Положения о муниципальном земельном контроле в границах </w:t>
      </w:r>
      <w:r>
        <w:rPr>
          <w:rFonts w:ascii="Times New Roman" w:hAnsi="Times New Roman"/>
          <w:sz w:val="24"/>
        </w:rPr>
        <w:t>МО Карагайского сельского поселения</w:t>
      </w:r>
      <w:r>
        <w:rPr>
          <w:rFonts w:ascii="Times New Roman" w:hAnsi="Times New Roman"/>
          <w:sz w:val="24"/>
        </w:rPr>
        <w:t>».</w:t>
      </w:r>
      <w:r>
        <w:rPr>
          <w:rFonts w:ascii="Times New Roman" w:hAnsi="Times New Roman"/>
          <w:sz w:val="24"/>
        </w:rPr>
        <w:t xml:space="preserve">   </w:t>
      </w:r>
    </w:p>
    <w:p w14:paraId="14000000">
      <w:pPr>
        <w:spacing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 РАСПОРЯЖАЮСЬ</w:t>
      </w:r>
    </w:p>
    <w:p w14:paraId="15000000">
      <w:pPr>
        <w:pStyle w:val="Style_4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 xml:space="preserve">Утвердить Программу «Профилактика рисков причинения вреда (ущерба) охраняемым законом ценностям </w:t>
      </w:r>
      <w:r>
        <w:rPr>
          <w:color w:val="000000"/>
        </w:rPr>
        <w:t xml:space="preserve">при осуществлении </w:t>
      </w:r>
      <w:r>
        <w:rPr>
          <w:color w:val="000000"/>
        </w:rPr>
        <w:t>муниципально</w:t>
      </w:r>
      <w:r>
        <w:rPr>
          <w:color w:val="000000"/>
        </w:rPr>
        <w:t>го</w:t>
      </w:r>
      <w:r>
        <w:rPr>
          <w:color w:val="000000"/>
        </w:rPr>
        <w:t xml:space="preserve"> земельно</w:t>
      </w:r>
      <w:r>
        <w:rPr>
          <w:color w:val="000000"/>
        </w:rPr>
        <w:t>го</w:t>
      </w:r>
      <w:r>
        <w:rPr>
          <w:color w:val="000000"/>
        </w:rPr>
        <w:t xml:space="preserve"> контрол</w:t>
      </w:r>
      <w:r>
        <w:rPr>
          <w:color w:val="000000"/>
        </w:rPr>
        <w:t>я</w:t>
      </w:r>
      <w:r>
        <w:rPr>
          <w:color w:val="000000"/>
        </w:rPr>
        <w:t xml:space="preserve"> на территории</w:t>
      </w:r>
      <w:r>
        <w:rPr>
          <w:color w:val="000000"/>
        </w:rPr>
        <w:t xml:space="preserve"> МО </w:t>
      </w:r>
      <w:r>
        <w:rPr>
          <w:color w:val="000000"/>
        </w:rPr>
        <w:t xml:space="preserve">Карагайского </w:t>
      </w:r>
      <w:r>
        <w:rPr>
          <w:color w:val="000000"/>
        </w:rPr>
        <w:t>сельско</w:t>
      </w:r>
      <w:r>
        <w:rPr>
          <w:color w:val="000000"/>
        </w:rPr>
        <w:t>го</w:t>
      </w:r>
      <w:r>
        <w:rPr>
          <w:color w:val="000000"/>
        </w:rPr>
        <w:t xml:space="preserve"> поселени</w:t>
      </w:r>
      <w:r>
        <w:rPr>
          <w:color w:val="000000"/>
        </w:rPr>
        <w:t>я</w:t>
      </w:r>
      <w:r>
        <w:rPr>
          <w:color w:val="000000"/>
        </w:rPr>
        <w:t xml:space="preserve"> на 202</w:t>
      </w:r>
      <w:r>
        <w:rPr>
          <w:color w:val="000000"/>
        </w:rPr>
        <w:t>7</w:t>
      </w:r>
      <w:r>
        <w:rPr>
          <w:color w:val="000000"/>
        </w:rPr>
        <w:t xml:space="preserve"> год </w:t>
      </w:r>
      <w:r>
        <w:rPr>
          <w:color w:val="000000"/>
        </w:rPr>
        <w:t>(далее – Программа профилактики) (Приложение).</w:t>
      </w:r>
    </w:p>
    <w:p w14:paraId="16000000">
      <w:pPr>
        <w:pStyle w:val="Style_4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Должностным лицам, уполномоченным на осуществление муниципального земельного контроля</w:t>
      </w:r>
      <w:r>
        <w:rPr>
          <w:color w:val="000000"/>
        </w:rPr>
        <w:t xml:space="preserve"> обеспечить выполнение мероприятий Программы профилактики.</w:t>
      </w:r>
    </w:p>
    <w:p w14:paraId="17000000">
      <w:pPr>
        <w:pStyle w:val="Style_4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Контроль за исполнением настоящего Распоряжения оставляю за собой.</w:t>
      </w:r>
    </w:p>
    <w:p w14:paraId="18000000">
      <w:pPr>
        <w:pStyle w:val="Style_4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 xml:space="preserve">Настоящее распоряжение подлежит </w:t>
      </w:r>
      <w:r>
        <w:rPr>
          <w:color w:val="000000"/>
        </w:rPr>
        <w:t>официальному опубликованию путем его размещения на официальном сайте администрации МО Карагайского сельского поселения Усть-Коксинского района Республики Алтай в телекоммуникационной сети Интернет.</w:t>
      </w:r>
    </w:p>
    <w:p w14:paraId="19000000">
      <w:pPr>
        <w:pStyle w:val="Style_4"/>
        <w:numPr>
          <w:ilvl w:val="0"/>
          <w:numId w:val="1"/>
        </w:numPr>
        <w:tabs>
          <w:tab w:leader="none" w:pos="2850" w:val="left"/>
        </w:tabs>
        <w:ind w:hanging="284" w:left="284"/>
        <w:jc w:val="both"/>
        <w:rPr>
          <w:color w:val="000000"/>
        </w:rPr>
      </w:pPr>
      <w:r>
        <w:rPr>
          <w:color w:val="000000"/>
        </w:rPr>
        <w:t>Настоящее Распоряжение вступает в силу</w:t>
      </w:r>
      <w:r>
        <w:t xml:space="preserve"> с момента его подписания.</w:t>
      </w:r>
    </w:p>
    <w:p w14:paraId="1A000000">
      <w:pPr>
        <w:tabs>
          <w:tab w:leader="none" w:pos="2850" w:val="left"/>
        </w:tabs>
        <w:ind/>
        <w:jc w:val="both"/>
        <w:rPr>
          <w:color w:val="000000"/>
        </w:rPr>
      </w:pPr>
    </w:p>
    <w:p w14:paraId="1B000000">
      <w:pPr>
        <w:tabs>
          <w:tab w:leader="none" w:pos="2850" w:val="left"/>
        </w:tabs>
        <w:spacing w:after="0" w:line="240" w:lineRule="auto"/>
        <w:ind/>
        <w:jc w:val="both"/>
        <w:rPr>
          <w:rFonts w:ascii="Times New Roman" w:hAnsi="Times New Roman"/>
          <w:color w:val="000000"/>
          <w:sz w:val="24"/>
        </w:rPr>
      </w:pPr>
    </w:p>
    <w:p w14:paraId="1C000000">
      <w:pPr>
        <w:spacing w:after="0" w:line="240" w:lineRule="auto"/>
        <w:ind w:firstLine="0" w:left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сельской администрации</w:t>
      </w:r>
    </w:p>
    <w:p w14:paraId="1D000000">
      <w:pPr>
        <w:ind w:firstLine="708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 Карагайско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сельско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поселени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                                    Э.А. Ерелина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 w:type="page"/>
      </w:r>
    </w:p>
    <w:p w14:paraId="1E000000">
      <w:pPr>
        <w:spacing w:after="0" w:line="240" w:lineRule="auto"/>
        <w:ind w:firstLine="0" w:left="4536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 распоряжению администрации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МО Карагайского </w:t>
      </w:r>
      <w:r>
        <w:rPr>
          <w:rFonts w:ascii="Times New Roman" w:hAnsi="Times New Roman"/>
          <w:color w:val="000000"/>
          <w:sz w:val="24"/>
        </w:rPr>
        <w:t xml:space="preserve">сельского поселения </w:t>
      </w:r>
    </w:p>
    <w:p w14:paraId="1F000000">
      <w:pPr>
        <w:spacing w:line="240" w:lineRule="auto"/>
        <w:ind w:firstLine="0" w:left="4536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>00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0</w:t>
      </w:r>
      <w:r>
        <w:rPr>
          <w:rFonts w:ascii="Times New Roman" w:hAnsi="Times New Roman"/>
          <w:color w:val="000000"/>
          <w:sz w:val="24"/>
        </w:rPr>
        <w:t>0</w:t>
      </w:r>
      <w:r>
        <w:rPr>
          <w:rFonts w:ascii="Times New Roman" w:hAnsi="Times New Roman"/>
          <w:color w:val="000000"/>
          <w:sz w:val="24"/>
        </w:rPr>
        <w:t>.202</w:t>
      </w:r>
      <w:r>
        <w:rPr>
          <w:rFonts w:ascii="Times New Roman" w:hAnsi="Times New Roman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 г. №</w:t>
      </w:r>
    </w:p>
    <w:p w14:paraId="20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Программа </w:t>
      </w:r>
    </w:p>
    <w:p w14:paraId="21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профилактики рисков причинения вреда (ущерба) охраняемым законом ценностям </w:t>
      </w:r>
      <w:r>
        <w:rPr>
          <w:rFonts w:ascii="Times New Roman" w:hAnsi="Times New Roman"/>
          <w:b w:val="1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 xml:space="preserve">по </w:t>
      </w:r>
      <w:r>
        <w:rPr>
          <w:rFonts w:ascii="Times New Roman" w:hAnsi="Times New Roman"/>
          <w:b w:val="1"/>
          <w:color w:val="000000"/>
          <w:sz w:val="24"/>
        </w:rPr>
        <w:t>муниципально</w:t>
      </w:r>
      <w:r>
        <w:rPr>
          <w:rFonts w:ascii="Times New Roman" w:hAnsi="Times New Roman"/>
          <w:b w:val="1"/>
          <w:color w:val="000000"/>
          <w:sz w:val="24"/>
        </w:rPr>
        <w:t>му</w:t>
      </w:r>
      <w:r>
        <w:rPr>
          <w:rFonts w:ascii="Times New Roman" w:hAnsi="Times New Roman"/>
          <w:b w:val="1"/>
          <w:color w:val="000000"/>
          <w:sz w:val="24"/>
        </w:rPr>
        <w:t xml:space="preserve"> земельно</w:t>
      </w:r>
      <w:r>
        <w:rPr>
          <w:rFonts w:ascii="Times New Roman" w:hAnsi="Times New Roman"/>
          <w:b w:val="1"/>
          <w:color w:val="000000"/>
          <w:sz w:val="24"/>
        </w:rPr>
        <w:t>му</w:t>
      </w:r>
      <w:r>
        <w:rPr>
          <w:rFonts w:ascii="Times New Roman" w:hAnsi="Times New Roman"/>
          <w:b w:val="1"/>
          <w:color w:val="000000"/>
          <w:sz w:val="24"/>
        </w:rPr>
        <w:t xml:space="preserve"> контрол</w:t>
      </w:r>
      <w:r>
        <w:rPr>
          <w:rFonts w:ascii="Times New Roman" w:hAnsi="Times New Roman"/>
          <w:b w:val="1"/>
          <w:color w:val="000000"/>
          <w:sz w:val="24"/>
        </w:rPr>
        <w:t>ю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 xml:space="preserve">на территории </w:t>
      </w:r>
    </w:p>
    <w:p w14:paraId="2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МО </w:t>
      </w:r>
      <w:r>
        <w:rPr>
          <w:rFonts w:ascii="Times New Roman" w:hAnsi="Times New Roman"/>
          <w:b w:val="1"/>
          <w:color w:val="000000"/>
          <w:sz w:val="24"/>
        </w:rPr>
        <w:t>Карагайского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сельско</w:t>
      </w:r>
      <w:r>
        <w:rPr>
          <w:rFonts w:ascii="Times New Roman" w:hAnsi="Times New Roman"/>
          <w:b w:val="1"/>
          <w:color w:val="000000"/>
          <w:sz w:val="24"/>
        </w:rPr>
        <w:t>го</w:t>
      </w:r>
      <w:r>
        <w:rPr>
          <w:rFonts w:ascii="Times New Roman" w:hAnsi="Times New Roman"/>
          <w:b w:val="1"/>
          <w:color w:val="000000"/>
          <w:sz w:val="24"/>
        </w:rPr>
        <w:t xml:space="preserve"> поселени</w:t>
      </w:r>
      <w:r>
        <w:rPr>
          <w:rFonts w:ascii="Times New Roman" w:hAnsi="Times New Roman"/>
          <w:b w:val="1"/>
          <w:color w:val="000000"/>
          <w:sz w:val="24"/>
        </w:rPr>
        <w:t>я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на 202</w:t>
      </w:r>
      <w:r>
        <w:rPr>
          <w:rFonts w:ascii="Times New Roman" w:hAnsi="Times New Roman"/>
          <w:b w:val="1"/>
          <w:color w:val="000000"/>
          <w:sz w:val="24"/>
        </w:rPr>
        <w:t>7</w:t>
      </w:r>
      <w:r>
        <w:rPr>
          <w:rFonts w:ascii="Times New Roman" w:hAnsi="Times New Roman"/>
          <w:b w:val="1"/>
          <w:color w:val="000000"/>
          <w:sz w:val="24"/>
        </w:rPr>
        <w:t xml:space="preserve"> год</w:t>
      </w:r>
    </w:p>
    <w:p w14:paraId="23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Раздел </w:t>
      </w:r>
      <w:r>
        <w:rPr>
          <w:rFonts w:ascii="Times New Roman" w:hAnsi="Times New Roman"/>
          <w:b w:val="1"/>
          <w:i w:val="1"/>
          <w:sz w:val="24"/>
        </w:rPr>
        <w:t>1</w:t>
      </w:r>
      <w:r>
        <w:rPr>
          <w:rFonts w:ascii="Times New Roman" w:hAnsi="Times New Roman"/>
          <w:b w:val="1"/>
          <w:i w:val="1"/>
          <w:sz w:val="24"/>
        </w:rPr>
        <w:t>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14:paraId="25000000">
      <w:pPr>
        <w:widowControl w:val="0"/>
        <w:spacing w:after="0" w:line="240" w:lineRule="auto"/>
        <w:ind w:firstLine="0" w:left="360"/>
        <w:jc w:val="center"/>
        <w:rPr>
          <w:rFonts w:ascii="Times New Roman" w:hAnsi="Times New Roman"/>
          <w:b w:val="1"/>
          <w:i w:val="1"/>
          <w:sz w:val="24"/>
        </w:rPr>
      </w:pPr>
    </w:p>
    <w:p w14:paraId="26000000">
      <w:pPr>
        <w:pStyle w:val="Style_4"/>
        <w:widowControl w:val="0"/>
        <w:numPr>
          <w:ilvl w:val="1"/>
          <w:numId w:val="2"/>
        </w:numPr>
        <w:ind w:hanging="567" w:left="567"/>
        <w:jc w:val="both"/>
        <w:rPr>
          <w:color w:val="000000"/>
        </w:rPr>
      </w:pPr>
      <w:r>
        <w:t xml:space="preserve">Настоящая Программа профилактики рисков причинения вреда (ущерба) охраняемым законом ценностям в области </w:t>
      </w:r>
      <w:r>
        <w:rPr>
          <w:color w:val="000000"/>
        </w:rPr>
        <w:t>муниципального</w:t>
      </w:r>
      <w:r>
        <w:rPr>
          <w:b w:val="1"/>
          <w:color w:val="000000"/>
        </w:rPr>
        <w:t xml:space="preserve"> </w:t>
      </w:r>
      <w:r>
        <w:rPr>
          <w:color w:val="000000"/>
        </w:rPr>
        <w:t xml:space="preserve">земельного контроля на территории </w:t>
      </w:r>
      <w:r>
        <w:rPr>
          <w:color w:val="000000"/>
        </w:rPr>
        <w:t xml:space="preserve">МО </w:t>
      </w:r>
      <w:r>
        <w:rPr>
          <w:color w:val="000000"/>
        </w:rPr>
        <w:t>Карагайского</w:t>
      </w:r>
      <w:r>
        <w:rPr>
          <w:color w:val="000000"/>
        </w:rPr>
        <w:t xml:space="preserve"> сельско</w:t>
      </w:r>
      <w:r>
        <w:rPr>
          <w:color w:val="000000"/>
        </w:rPr>
        <w:t>го</w:t>
      </w:r>
      <w:r>
        <w:rPr>
          <w:color w:val="000000"/>
        </w:rPr>
        <w:t xml:space="preserve"> поселени</w:t>
      </w:r>
      <w:r>
        <w:rPr>
          <w:color w:val="000000"/>
        </w:rPr>
        <w:t>я</w:t>
      </w:r>
      <w:r>
        <w:rPr>
          <w:color w:val="000000"/>
        </w:rPr>
        <w:t xml:space="preserve"> на 202</w:t>
      </w:r>
      <w:r>
        <w:rPr>
          <w:color w:val="000000"/>
        </w:rPr>
        <w:t>7</w:t>
      </w:r>
      <w:r>
        <w:rPr>
          <w:color w:val="000000"/>
        </w:rPr>
        <w:t xml:space="preserve"> год</w:t>
      </w:r>
      <w:r>
        <w:t xml:space="preserve"> (далее – Программа) разработана в соответствии с требованиями Федерального закона от 31 июля 2020 г. № 248-ФЗ «О государственном контроле (надзоре) и муниципальном контроле в Российской Федерации» (далее – закон № 248-ФЗ) и на основании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ценностям, утвержденной постановлением Правительства Российской Федерации от 25 июня 2021 г. № 990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t xml:space="preserve">МО </w:t>
      </w:r>
      <w:r>
        <w:t xml:space="preserve">Карагайского </w:t>
      </w:r>
      <w:r>
        <w:t>сельско</w:t>
      </w:r>
      <w:r>
        <w:t>го</w:t>
      </w:r>
      <w:r>
        <w:t xml:space="preserve"> поселени</w:t>
      </w:r>
      <w:r>
        <w:t>я</w:t>
      </w:r>
      <w:r>
        <w:rPr>
          <w:color w:val="000000"/>
        </w:rPr>
        <w:t>.</w:t>
      </w:r>
    </w:p>
    <w:p w14:paraId="27000000">
      <w:pPr>
        <w:pStyle w:val="Style_4"/>
        <w:widowControl w:val="0"/>
        <w:numPr>
          <w:ilvl w:val="1"/>
          <w:numId w:val="2"/>
        </w:numPr>
        <w:ind w:hanging="567" w:left="567"/>
        <w:jc w:val="both"/>
        <w:rPr>
          <w:color w:val="000000"/>
        </w:rPr>
      </w:pPr>
      <w:r>
        <w:t xml:space="preserve">Программа профилактики рисков причинения вреда (ущерба) </w:t>
      </w:r>
      <w:r>
        <w:t>направлен</w:t>
      </w:r>
      <w:r>
        <w:t>а</w:t>
      </w:r>
      <w:r>
        <w:t xml:space="preserve"> на предупреждение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</w:t>
      </w:r>
      <w:r>
        <w:t xml:space="preserve"> земельного законодательства и снижения рисков причинения вреда (ущерба)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p w14:paraId="28000000">
      <w:pPr>
        <w:pStyle w:val="Style_4"/>
        <w:widowControl w:val="0"/>
        <w:numPr>
          <w:ilvl w:val="1"/>
          <w:numId w:val="2"/>
        </w:numPr>
        <w:ind w:hanging="567" w:left="567"/>
        <w:jc w:val="both"/>
        <w:rPr>
          <w:color w:val="000000"/>
        </w:rPr>
      </w:pPr>
      <w:r>
        <w:t>Предметом муниципального контроля является:</w:t>
      </w:r>
    </w:p>
    <w:p w14:paraId="29000000">
      <w:pPr>
        <w:pStyle w:val="Style_4"/>
        <w:widowControl w:val="0"/>
        <w:numPr>
          <w:ilvl w:val="2"/>
          <w:numId w:val="2"/>
        </w:numPr>
        <w:ind w:hanging="284" w:left="851"/>
        <w:jc w:val="both"/>
        <w:rPr>
          <w:color w:val="000000"/>
        </w:rPr>
      </w:pPr>
      <w:r>
        <w:t>соблюдение юридическими лицами, индивидуальными предпринимателями, гражданами (далее - контролируемые лица) обязательных требований в отношении объектов земельных отношений, за нарушение которых законодательством Российской Федерации предусмотрена административная ответственность;</w:t>
      </w:r>
    </w:p>
    <w:p w14:paraId="2A000000">
      <w:pPr>
        <w:pStyle w:val="Style_4"/>
        <w:widowControl w:val="0"/>
        <w:numPr>
          <w:ilvl w:val="2"/>
          <w:numId w:val="2"/>
        </w:numPr>
        <w:ind w:hanging="284" w:left="851"/>
        <w:jc w:val="both"/>
        <w:rPr>
          <w:color w:val="000000"/>
        </w:rPr>
      </w:pPr>
      <w:r>
        <w:t>соблюдение контролируемыми лицами требований, содержащихся в разрешительных документах и требований документов, исполнение которых является необходимым в соответствии с законодательством Российской Федерации;</w:t>
      </w:r>
    </w:p>
    <w:p w14:paraId="2B000000">
      <w:pPr>
        <w:pStyle w:val="Style_4"/>
        <w:widowControl w:val="0"/>
        <w:numPr>
          <w:ilvl w:val="2"/>
          <w:numId w:val="2"/>
        </w:numPr>
        <w:ind w:hanging="284" w:left="851"/>
        <w:jc w:val="both"/>
        <w:rPr>
          <w:color w:val="000000"/>
        </w:rPr>
      </w:pPr>
      <w:r>
        <w:t xml:space="preserve">исполнение </w:t>
      </w:r>
      <w:r>
        <w:t>контролируемыми лицами решений, принимаемых по результатам контрольных мероприятий.</w:t>
      </w:r>
    </w:p>
    <w:p w14:paraId="2C000000">
      <w:pPr>
        <w:pStyle w:val="Style_4"/>
        <w:widowControl w:val="0"/>
        <w:numPr>
          <w:ilvl w:val="1"/>
          <w:numId w:val="2"/>
        </w:numPr>
        <w:ind w:hanging="567" w:left="567"/>
        <w:jc w:val="both"/>
        <w:rPr>
          <w:color w:val="000000"/>
        </w:rPr>
      </w:pPr>
      <w:r>
        <w:t xml:space="preserve">Объектами муниципального земельного контроля являются: </w:t>
      </w:r>
    </w:p>
    <w:p w14:paraId="2D000000">
      <w:pPr>
        <w:pStyle w:val="Style_4"/>
        <w:widowControl w:val="0"/>
        <w:numPr>
          <w:ilvl w:val="0"/>
          <w:numId w:val="3"/>
        </w:numPr>
        <w:ind w:hanging="284" w:left="851"/>
        <w:jc w:val="both"/>
      </w:pPr>
      <w:r>
        <w:t xml:space="preserve">земли, земельные участки, части земельных участков, </w:t>
      </w:r>
      <w:r>
        <w:t xml:space="preserve">в том числе земли, земельные участи или части земельных участков сельскохозяйственного назначения </w:t>
      </w:r>
      <w:r>
        <w:t>расположенные в границах</w:t>
      </w:r>
      <w:r>
        <w:t xml:space="preserve"> МО </w:t>
      </w:r>
      <w:r>
        <w:t>Карагайского</w:t>
      </w:r>
      <w:r>
        <w:t xml:space="preserve"> сельско</w:t>
      </w:r>
      <w:r>
        <w:t>го</w:t>
      </w:r>
      <w:r>
        <w:t xml:space="preserve"> поселени</w:t>
      </w:r>
      <w:r>
        <w:t>я</w:t>
      </w:r>
      <w:r>
        <w:rPr>
          <w:color w:val="000000"/>
        </w:rPr>
        <w:t>.</w:t>
      </w:r>
    </w:p>
    <w:p w14:paraId="2E000000">
      <w:pPr>
        <w:pStyle w:val="Style_4"/>
        <w:widowControl w:val="0"/>
        <w:numPr>
          <w:ilvl w:val="1"/>
          <w:numId w:val="2"/>
        </w:numPr>
        <w:ind w:hanging="567" w:left="567"/>
        <w:jc w:val="both"/>
      </w:pPr>
      <w:r>
        <w:t>Должностными лицами уполномоченным</w:t>
      </w:r>
      <w:r>
        <w:t>и</w:t>
      </w:r>
      <w:r>
        <w:t xml:space="preserve"> осуществлять муниципальный земельный контроль от имени администрации</w:t>
      </w:r>
      <w:r>
        <w:t xml:space="preserve"> МО</w:t>
      </w:r>
      <w:r>
        <w:t xml:space="preserve"> Карагайского</w:t>
      </w:r>
      <w:r>
        <w:t xml:space="preserve"> сельско</w:t>
      </w:r>
      <w:r>
        <w:t>го</w:t>
      </w:r>
      <w:r>
        <w:t xml:space="preserve"> поселени</w:t>
      </w:r>
      <w:r>
        <w:t>я</w:t>
      </w:r>
      <w:r>
        <w:t>, являются:</w:t>
      </w:r>
    </w:p>
    <w:p w14:paraId="2F000000">
      <w:pPr>
        <w:pStyle w:val="Style_4"/>
        <w:widowControl w:val="0"/>
        <w:numPr>
          <w:ilvl w:val="2"/>
          <w:numId w:val="2"/>
        </w:numPr>
        <w:ind w:hanging="284" w:left="851"/>
        <w:jc w:val="both"/>
      </w:pPr>
      <w:r>
        <w:t>Глава</w:t>
      </w:r>
      <w:r>
        <w:t xml:space="preserve"> администрации</w:t>
      </w:r>
      <w:r>
        <w:t xml:space="preserve"> </w:t>
      </w:r>
      <w:r>
        <w:t xml:space="preserve">МО </w:t>
      </w:r>
      <w:r>
        <w:t xml:space="preserve">Карагайского </w:t>
      </w:r>
      <w:r>
        <w:t>сельско</w:t>
      </w:r>
      <w:r>
        <w:t>го</w:t>
      </w:r>
      <w:r>
        <w:t xml:space="preserve"> поселени</w:t>
      </w:r>
      <w:r>
        <w:t>я</w:t>
      </w:r>
      <w:r>
        <w:t>;</w:t>
      </w:r>
    </w:p>
    <w:p w14:paraId="30000000">
      <w:pPr>
        <w:pStyle w:val="Style_4"/>
        <w:widowControl w:val="0"/>
        <w:numPr>
          <w:ilvl w:val="2"/>
          <w:numId w:val="2"/>
        </w:numPr>
        <w:ind w:hanging="284" w:left="851"/>
        <w:jc w:val="both"/>
      </w:pPr>
      <w:r>
        <w:t xml:space="preserve">специалист </w:t>
      </w:r>
      <w:r>
        <w:t>–</w:t>
      </w:r>
      <w:r>
        <w:t xml:space="preserve"> </w:t>
      </w:r>
      <w:r>
        <w:t>землеустроитель</w:t>
      </w:r>
      <w:r>
        <w:t xml:space="preserve"> </w:t>
      </w:r>
      <w:r>
        <w:t xml:space="preserve">МО </w:t>
      </w:r>
      <w:r>
        <w:t xml:space="preserve">Карагайского </w:t>
      </w:r>
      <w:r>
        <w:t>сельско</w:t>
      </w:r>
      <w:r>
        <w:t>го</w:t>
      </w:r>
      <w:r>
        <w:t xml:space="preserve"> поселени</w:t>
      </w:r>
      <w:r>
        <w:t>я</w:t>
      </w:r>
      <w:r>
        <w:t>.</w:t>
      </w:r>
    </w:p>
    <w:p w14:paraId="31000000">
      <w:pPr>
        <w:widowControl w:val="0"/>
        <w:spacing w:line="240" w:lineRule="auto"/>
        <w:ind w:firstLine="0" w:left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ри осуществлении муниципального земельного контроля,</w:t>
      </w:r>
      <w:r>
        <w:rPr>
          <w:rFonts w:ascii="Times New Roman" w:hAnsi="Times New Roman"/>
          <w:sz w:val="24"/>
        </w:rPr>
        <w:t xml:space="preserve"> должностные лица</w:t>
      </w:r>
      <w:r>
        <w:rPr>
          <w:rFonts w:ascii="Times New Roman" w:hAnsi="Times New Roman"/>
          <w:sz w:val="24"/>
        </w:rPr>
        <w:t xml:space="preserve">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32000000">
      <w:pPr>
        <w:spacing w:after="0" w:line="240" w:lineRule="auto"/>
        <w:ind w:firstLine="708" w:left="0"/>
        <w:jc w:val="both"/>
        <w:rPr>
          <w:rFonts w:ascii="Times New Roman" w:hAnsi="Times New Roman"/>
          <w:sz w:val="24"/>
        </w:rPr>
      </w:pPr>
    </w:p>
    <w:p w14:paraId="33000000">
      <w:pPr>
        <w:pStyle w:val="Style_4"/>
        <w:numPr>
          <w:ilvl w:val="1"/>
          <w:numId w:val="2"/>
        </w:numPr>
        <w:ind w:hanging="567" w:left="567"/>
        <w:jc w:val="both"/>
      </w:pPr>
      <w:r>
        <w:t>В 202</w:t>
      </w:r>
      <w:r>
        <w:t>6</w:t>
      </w:r>
      <w:r>
        <w:t xml:space="preserve"> году (в период 01.01.202</w:t>
      </w:r>
      <w:r>
        <w:t>6</w:t>
      </w:r>
      <w:r>
        <w:t xml:space="preserve"> года по 31.12.202</w:t>
      </w:r>
      <w:r>
        <w:t>6</w:t>
      </w:r>
      <w:r>
        <w:t xml:space="preserve"> года) в отношении юридических лиц и индивидуальных предпринимателей, физических лиц плановые и внеплановые проверки соблюдения земельного законодательства не проводились.</w:t>
      </w:r>
    </w:p>
    <w:p w14:paraId="34000000">
      <w:pPr>
        <w:pStyle w:val="Style_4"/>
        <w:numPr>
          <w:ilvl w:val="1"/>
          <w:numId w:val="2"/>
        </w:numPr>
        <w:ind w:hanging="567" w:left="567"/>
        <w:jc w:val="both"/>
      </w:pPr>
      <w:r>
        <w:t>Мониторинг состояния подконтрольных субъектов в сфере земельного законодательства выявил, что ключевыми и наиболее значимыми рисками является использование участков не по целевому назначению.</w:t>
      </w:r>
    </w:p>
    <w:p w14:paraId="35000000">
      <w:pPr>
        <w:pStyle w:val="Style_4"/>
        <w:numPr>
          <w:ilvl w:val="1"/>
          <w:numId w:val="2"/>
        </w:numPr>
        <w:ind w:hanging="567" w:left="567"/>
        <w:jc w:val="both"/>
      </w:pPr>
      <w: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</w:t>
      </w:r>
      <w:r>
        <w:t xml:space="preserve"> </w:t>
      </w:r>
      <w:r>
        <w:t>к добросовестности будет способствовать улучшению в целом ситуации, повышение ответственности подконтрольных субъектов, снижению количества</w:t>
      </w:r>
      <w:r>
        <w:t xml:space="preserve"> </w:t>
      </w:r>
      <w:r>
        <w:t>выявляемых нарушений обязательных требований, требований, установленных муниципальными правовыми актами в сфере земельных отношений.</w:t>
      </w:r>
    </w:p>
    <w:p w14:paraId="36000000">
      <w:pPr>
        <w:widowControl w:val="0"/>
        <w:spacing w:after="0" w:line="240" w:lineRule="auto"/>
        <w:ind w:firstLine="720" w:left="0" w:right="-7"/>
        <w:jc w:val="both"/>
        <w:rPr>
          <w:rFonts w:ascii="Times New Roman" w:hAnsi="Times New Roman"/>
          <w:sz w:val="24"/>
        </w:rPr>
      </w:pPr>
    </w:p>
    <w:p w14:paraId="37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Раздел </w:t>
      </w:r>
      <w:r>
        <w:rPr>
          <w:rFonts w:ascii="Times New Roman" w:hAnsi="Times New Roman"/>
          <w:b w:val="1"/>
          <w:i w:val="1"/>
          <w:sz w:val="24"/>
        </w:rPr>
        <w:t>2</w:t>
      </w:r>
      <w:r>
        <w:rPr>
          <w:rFonts w:ascii="Times New Roman" w:hAnsi="Times New Roman"/>
          <w:b w:val="1"/>
          <w:i w:val="1"/>
          <w:sz w:val="24"/>
        </w:rPr>
        <w:t>. Цели и задачи реализации программы профилактики</w:t>
      </w:r>
    </w:p>
    <w:p w14:paraId="38000000">
      <w:pPr>
        <w:widowControl w:val="0"/>
        <w:spacing w:after="0" w:line="240" w:lineRule="auto"/>
        <w:ind w:firstLine="0" w:left="720"/>
        <w:jc w:val="both"/>
        <w:rPr>
          <w:rFonts w:ascii="Times New Roman" w:hAnsi="Times New Roman"/>
          <w:sz w:val="24"/>
        </w:rPr>
      </w:pPr>
    </w:p>
    <w:p w14:paraId="39000000">
      <w:pPr>
        <w:pStyle w:val="Style_4"/>
        <w:widowControl w:val="0"/>
        <w:numPr>
          <w:ilvl w:val="1"/>
          <w:numId w:val="4"/>
        </w:numPr>
        <w:ind w:hanging="567" w:left="567"/>
        <w:jc w:val="both"/>
        <w:rPr>
          <w:b w:val="1"/>
        </w:rPr>
      </w:pPr>
      <w:r>
        <w:rPr>
          <w:b w:val="1"/>
        </w:rPr>
        <w:t>Основными целями программы профилактики являются:</w:t>
      </w:r>
    </w:p>
    <w:p w14:paraId="3A000000">
      <w:pPr>
        <w:pStyle w:val="Style_4"/>
        <w:widowControl w:val="0"/>
        <w:numPr>
          <w:ilvl w:val="2"/>
          <w:numId w:val="4"/>
        </w:numPr>
        <w:ind w:hanging="709" w:left="1276"/>
        <w:jc w:val="both"/>
        <w:rPr>
          <w:b w:val="1"/>
        </w:rPr>
      </w:pPr>
      <w:r>
        <w:t>С</w:t>
      </w:r>
      <w:r>
        <w:t>тимулирование добросовестного соблюдения обязательных требований всеми контролируемыми лицами;</w:t>
      </w:r>
    </w:p>
    <w:p w14:paraId="3B000000">
      <w:pPr>
        <w:pStyle w:val="Style_4"/>
        <w:widowControl w:val="0"/>
        <w:numPr>
          <w:ilvl w:val="2"/>
          <w:numId w:val="4"/>
        </w:numPr>
        <w:ind w:hanging="709" w:left="1276"/>
        <w:jc w:val="both"/>
        <w:rPr>
          <w:b w:val="1"/>
        </w:rPr>
      </w:pPr>
      <w:r>
        <w:t>У</w:t>
      </w:r>
      <w:r>
        <w:t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3C000000">
      <w:pPr>
        <w:pStyle w:val="Style_4"/>
        <w:widowControl w:val="0"/>
        <w:numPr>
          <w:ilvl w:val="2"/>
          <w:numId w:val="4"/>
        </w:numPr>
        <w:spacing w:after="240"/>
        <w:ind w:hanging="709" w:left="1276"/>
        <w:jc w:val="both"/>
        <w:rPr>
          <w:b w:val="1"/>
        </w:rPr>
      </w:pPr>
      <w:r>
        <w:t>С</w:t>
      </w:r>
      <w:r>
        <w:t>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D000000">
      <w:pPr>
        <w:pStyle w:val="Style_4"/>
        <w:widowControl w:val="0"/>
        <w:numPr>
          <w:ilvl w:val="1"/>
          <w:numId w:val="4"/>
        </w:numPr>
        <w:ind w:hanging="567" w:left="567"/>
        <w:jc w:val="both"/>
        <w:rPr>
          <w:b w:val="1"/>
        </w:rPr>
      </w:pPr>
      <w:r>
        <w:rPr>
          <w:b w:val="1"/>
        </w:rPr>
        <w:t>Задачами профилактики нарушений земельного законодательства являются:</w:t>
      </w:r>
    </w:p>
    <w:p w14:paraId="3E000000">
      <w:pPr>
        <w:pStyle w:val="Style_4"/>
        <w:widowControl w:val="0"/>
        <w:numPr>
          <w:ilvl w:val="2"/>
          <w:numId w:val="4"/>
        </w:numPr>
        <w:ind w:firstLine="0" w:left="1276"/>
        <w:jc w:val="both"/>
        <w:rPr>
          <w:b w:val="1"/>
        </w:rPr>
      </w:pPr>
      <w:r>
        <w:t>Укрепление системы профилактики нарушения рисков причинения вреда (ущерба) охраняемым законом ценностям;</w:t>
      </w:r>
    </w:p>
    <w:p w14:paraId="3F000000">
      <w:pPr>
        <w:pStyle w:val="Style_4"/>
        <w:widowControl w:val="0"/>
        <w:numPr>
          <w:ilvl w:val="2"/>
          <w:numId w:val="4"/>
        </w:numPr>
        <w:ind w:firstLine="0" w:left="1276"/>
        <w:jc w:val="both"/>
        <w:rPr>
          <w:b w:val="1"/>
        </w:rPr>
      </w:pPr>
      <w:r>
        <w:t>В</w:t>
      </w:r>
      <w:r>
        <w:t>ыявление причин, факторов и условий, способствующих нарушению обязательных требований земельного законодательства, определение способов устранения или снижения рисков их возникновения;</w:t>
      </w:r>
    </w:p>
    <w:p w14:paraId="40000000">
      <w:pPr>
        <w:pStyle w:val="Style_4"/>
        <w:widowControl w:val="0"/>
        <w:numPr>
          <w:ilvl w:val="2"/>
          <w:numId w:val="4"/>
        </w:numPr>
        <w:ind w:firstLine="0" w:left="1276"/>
        <w:jc w:val="both"/>
        <w:rPr>
          <w:b w:val="1"/>
        </w:rPr>
      </w:pPr>
      <w:r>
        <w:t>Повышения правосознания, правовой культуры, уровня правовой грамотности подконтрольных субъектов, в том числе путем обеспечения доступной информации об обязательных требованиях законодательства и необходимых мерах по их исполнению;</w:t>
      </w:r>
    </w:p>
    <w:p w14:paraId="41000000">
      <w:pPr>
        <w:pStyle w:val="Style_4"/>
        <w:widowControl w:val="0"/>
        <w:numPr>
          <w:ilvl w:val="2"/>
          <w:numId w:val="4"/>
        </w:numPr>
        <w:ind w:firstLine="0" w:left="1276"/>
        <w:jc w:val="both"/>
        <w:rPr>
          <w:b w:val="1"/>
        </w:rPr>
      </w:pPr>
      <w:r>
        <w:t>П</w:t>
      </w:r>
      <w:r>
        <w:t>овышение прозрачности осуществляемой контрольной деятельности;</w:t>
      </w:r>
    </w:p>
    <w:p w14:paraId="42000000">
      <w:pPr>
        <w:pStyle w:val="Style_4"/>
        <w:widowControl w:val="0"/>
        <w:numPr>
          <w:ilvl w:val="2"/>
          <w:numId w:val="4"/>
        </w:numPr>
        <w:ind w:firstLine="0" w:left="1276"/>
        <w:jc w:val="both"/>
        <w:rPr>
          <w:b w:val="1"/>
        </w:rPr>
      </w:pPr>
      <w:r>
        <w:t>Формирование единого понимания обязательных требований законодательства у всех участников контрольной деятельности.</w:t>
      </w:r>
    </w:p>
    <w:p w14:paraId="43000000">
      <w:pPr>
        <w:widowControl w:val="0"/>
        <w:spacing w:after="0" w:line="240" w:lineRule="auto"/>
        <w:ind w:firstLine="720" w:left="0"/>
        <w:jc w:val="both"/>
        <w:rPr>
          <w:rFonts w:ascii="Times New Roman" w:hAnsi="Times New Roman"/>
          <w:sz w:val="24"/>
        </w:rPr>
      </w:pPr>
    </w:p>
    <w:p w14:paraId="4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Раздел </w:t>
      </w:r>
      <w:r>
        <w:rPr>
          <w:rFonts w:ascii="Times New Roman" w:hAnsi="Times New Roman"/>
          <w:b w:val="1"/>
          <w:i w:val="1"/>
          <w:sz w:val="24"/>
        </w:rPr>
        <w:t>3</w:t>
      </w:r>
      <w:r>
        <w:rPr>
          <w:rFonts w:ascii="Times New Roman" w:hAnsi="Times New Roman"/>
          <w:b w:val="1"/>
          <w:i w:val="1"/>
          <w:sz w:val="24"/>
        </w:rPr>
        <w:t>. Перечень профилактических мероприятий,</w:t>
      </w:r>
    </w:p>
    <w:p w14:paraId="45000000">
      <w:pPr>
        <w:widowControl w:val="0"/>
        <w:spacing w:after="0" w:line="240" w:lineRule="auto"/>
        <w:ind w:firstLine="0" w:left="36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сроки (периодичность) их проведения </w:t>
      </w:r>
    </w:p>
    <w:p w14:paraId="46000000">
      <w:pPr>
        <w:widowControl w:val="0"/>
        <w:spacing w:after="0" w:line="240" w:lineRule="auto"/>
        <w:ind w:firstLine="720" w:left="0"/>
        <w:jc w:val="center"/>
        <w:rPr>
          <w:rFonts w:ascii="Times New Roman" w:hAnsi="Times New Roman"/>
          <w:sz w:val="24"/>
        </w:rPr>
      </w:pPr>
    </w:p>
    <w:tbl>
      <w:tblPr>
        <w:tblStyle w:val="Style_1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67"/>
        <w:gridCol w:w="4962"/>
        <w:gridCol w:w="2126"/>
        <w:gridCol w:w="2551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 профилактического мероприятия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 (периодичность) проведения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>
        <w:trPr>
          <w:trHeight w:hRule="atLeast" w:val="297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</w:t>
            </w:r>
          </w:p>
        </w:tc>
      </w:tr>
      <w:tr>
        <w:trPr>
          <w:trHeight w:hRule="atLeast" w:val="436"/>
        </w:trPr>
        <w:tc>
          <w:tcPr>
            <w:tcW w:type="dxa" w:w="1020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Информирование</w:t>
            </w:r>
          </w:p>
        </w:tc>
      </w:tr>
      <w:tr>
        <w:trPr>
          <w:trHeight w:hRule="atLeast" w:val="846"/>
        </w:trPr>
        <w:tc>
          <w:tcPr>
            <w:tcW w:type="dxa" w:w="56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1.</w:t>
            </w:r>
          </w:p>
          <w:p w14:paraId="5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pStyle w:val="Style_5"/>
              <w:ind w:firstLine="0" w:left="119" w:right="13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Информирование контролируемых и иных лиц, заинтересованных  по вопросам соблюдения обязательных требований</w:t>
            </w:r>
          </w:p>
          <w:p w14:paraId="53000000">
            <w:pPr>
              <w:pStyle w:val="Style_5"/>
              <w:ind w:firstLine="0" w:left="119" w:right="131"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54000000">
            <w:pPr>
              <w:pStyle w:val="Style_5"/>
              <w:ind w:firstLine="0" w:left="119" w:right="13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ascii="Times New Roman" w:hAnsi="Times New Roman"/>
                <w:sz w:val="24"/>
              </w:rPr>
              <w:t>официальном сайте администрации и в печатном издании   муниципального образования</w:t>
            </w:r>
            <w:r>
              <w:rPr>
                <w:rFonts w:ascii="Times New Roman" w:hAnsi="Times New Roman"/>
                <w:sz w:val="24"/>
              </w:rPr>
              <w:t>: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pStyle w:val="Style_4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текстов нормативных правовых актов, регулирующих осуществление муниципального земельного контроля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года/</w:t>
            </w:r>
          </w:p>
          <w:p w14:paraId="5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 после официального опубликования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Сведения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месяца после официального опубликования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  <w:rPr>
                <w:color w:val="FF0000"/>
              </w:rPr>
            </w:pPr>
            <w:r>
              <w:t>Размещение 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руководства по соблюдению обязательных требований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перечня объектов контроля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B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 xml:space="preserve">Перечень индикаторов риска нарушения обязательных требований, порядок отнесения объектов контроля к категориям риска. </w:t>
            </w:r>
          </w:p>
          <w:p w14:paraId="6C000000">
            <w:pPr>
              <w:widowControl w:val="0"/>
              <w:spacing w:after="0" w:line="240" w:lineRule="auto"/>
              <w:ind w:hanging="458" w:left="45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F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сведений о способах получения консультаций по вопросам обязательных требований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Размещение сведений о порядке досудебного обжалования решений контрольного органа, действий (бездействия) его должностных лиц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7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00000">
            <w:pPr>
              <w:pStyle w:val="Style_4"/>
              <w:widowControl w:val="0"/>
              <w:numPr>
                <w:ilvl w:val="2"/>
                <w:numId w:val="2"/>
              </w:numPr>
              <w:ind w:hanging="458" w:left="458"/>
              <w:jc w:val="both"/>
            </w:pPr>
            <w:r>
              <w:t>Доклады, содержащие результаты обобщения правоприменительной практики  контрольного (надзорного) органа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 в течение года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c>
          <w:tcPr>
            <w:tcW w:type="dxa" w:w="56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размещение доклада о муниципальном земельном контроле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позднее 15 марта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(года, следующего за отчетным)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</w:t>
            </w:r>
          </w:p>
        </w:tc>
      </w:tr>
      <w:tr>
        <w:trPr>
          <w:trHeight w:hRule="atLeast" w:val="498"/>
        </w:trPr>
        <w:tc>
          <w:tcPr>
            <w:tcW w:type="dxa" w:w="1020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Консультирование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Устное к</w:t>
            </w:r>
            <w:r>
              <w:rPr>
                <w:rFonts w:ascii="Times New Roman" w:hAnsi="Times New Roman"/>
                <w:b w:val="1"/>
                <w:sz w:val="24"/>
              </w:rPr>
              <w:t xml:space="preserve">онсультирование контролируемых лиц проводится следующими способами: </w:t>
            </w:r>
          </w:p>
          <w:p w14:paraId="7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80000000">
            <w:pPr>
              <w:pStyle w:val="Style_4"/>
              <w:widowControl w:val="0"/>
              <w:numPr>
                <w:ilvl w:val="0"/>
                <w:numId w:val="5"/>
              </w:numPr>
              <w:spacing w:after="240"/>
              <w:ind w:hanging="284" w:left="317"/>
              <w:jc w:val="both"/>
            </w:pPr>
            <w:r>
              <w:t>П</w:t>
            </w:r>
            <w:r>
              <w:t xml:space="preserve">о телефону, на личном приеме либо в </w:t>
            </w:r>
            <w:r>
              <w:t>ходе проведения профилактических мероприятий, контрольных мероприятий и не должно превышать 15 минут.</w:t>
            </w:r>
            <w:r>
              <w:t xml:space="preserve"> Контрольный орган не предоставляет контролируемым лицам и их представителям информацию по вопросам устного консультирования.</w:t>
            </w:r>
          </w:p>
          <w:p w14:paraId="81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вопросов:</w:t>
            </w:r>
          </w:p>
          <w:p w14:paraId="8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83000000">
            <w:pPr>
              <w:pStyle w:val="Style_4"/>
              <w:numPr>
                <w:ilvl w:val="0"/>
                <w:numId w:val="6"/>
              </w:numPr>
              <w:ind w:hanging="284"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осуществление муниципального земельного контроля;</w:t>
            </w:r>
          </w:p>
          <w:p w14:paraId="84000000">
            <w:pPr>
              <w:pStyle w:val="Style_4"/>
              <w:numPr>
                <w:ilvl w:val="0"/>
                <w:numId w:val="6"/>
              </w:numPr>
              <w:ind w:hanging="284"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порядок осуществления контрольных мероприятий, установленных Положением о муниципальном земельном контроле на территории </w:t>
            </w:r>
            <w:r>
              <w:rPr>
                <w:color w:val="000000"/>
              </w:rPr>
              <w:t xml:space="preserve">МО </w:t>
            </w:r>
            <w:r>
              <w:rPr>
                <w:color w:val="000000"/>
              </w:rPr>
              <w:t>Карагайского</w:t>
            </w:r>
            <w:r>
              <w:rPr>
                <w:color w:val="000000"/>
              </w:rPr>
              <w:t xml:space="preserve"> сельско</w:t>
            </w:r>
            <w:r>
              <w:rPr>
                <w:color w:val="000000"/>
              </w:rPr>
              <w:t>го</w:t>
            </w:r>
            <w:r>
              <w:rPr>
                <w:color w:val="000000"/>
              </w:rPr>
              <w:t xml:space="preserve"> поселени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;</w:t>
            </w:r>
          </w:p>
          <w:p w14:paraId="85000000">
            <w:pPr>
              <w:pStyle w:val="Style_4"/>
              <w:numPr>
                <w:ilvl w:val="0"/>
                <w:numId w:val="6"/>
              </w:numPr>
              <w:ind w:hanging="284"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>порядок обжалования действий (бездействия) должностных лиц, уполномоченных осуществлять муниципальный земельный контроль;</w:t>
            </w:r>
          </w:p>
          <w:p w14:paraId="86000000">
            <w:pPr>
              <w:pStyle w:val="Style_4"/>
              <w:numPr>
                <w:ilvl w:val="0"/>
                <w:numId w:val="6"/>
              </w:numPr>
              <w:ind w:hanging="284"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14:paraId="87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88000000">
            <w:pPr>
              <w:pStyle w:val="Style_4"/>
              <w:numPr>
                <w:ilvl w:val="0"/>
                <w:numId w:val="5"/>
              </w:numPr>
              <w:ind w:hanging="284" w:left="317"/>
              <w:jc w:val="both"/>
              <w:rPr>
                <w:color w:val="000000"/>
              </w:rPr>
            </w:pPr>
            <w:r>
              <w:rPr>
                <w:color w:val="000000"/>
              </w:rPr>
              <w:t>Посредством размещения на официальном сайте письменного разъяснения по однотипным обращениям (более 10 однотипных обращений)</w:t>
            </w:r>
          </w:p>
          <w:p w14:paraId="89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8A000000">
            <w:pPr>
              <w:spacing w:after="0" w:line="240" w:lineRule="auto"/>
              <w:ind w:firstLine="0" w:left="33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консультирование контролируемых лиц и их представителей осуществляется в порядке и сроки, указанные Федеральным законом от 02.05.2006 № 59-ФЗ «О порядке рассмотрения обращений граждан Российской Федерации»</w:t>
            </w:r>
          </w:p>
          <w:p w14:paraId="8B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14:paraId="8C000000">
            <w:pPr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орган осуществляет учет проведенных консультирований.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мере необходимости</w:t>
            </w:r>
            <w:r>
              <w:rPr>
                <w:rFonts w:ascii="Times New Roman" w:hAnsi="Times New Roman"/>
                <w:sz w:val="24"/>
              </w:rPr>
              <w:t xml:space="preserve">/ по мере поступления обращений </w:t>
            </w:r>
            <w:r>
              <w:rPr>
                <w:rFonts w:ascii="Times New Roman" w:hAnsi="Times New Roman"/>
                <w:sz w:val="24"/>
              </w:rPr>
              <w:t>контролируемых лиц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МО</w:t>
            </w:r>
            <w:r>
              <w:rPr>
                <w:rFonts w:ascii="Times New Roman" w:hAnsi="Times New Roman"/>
                <w:sz w:val="24"/>
              </w:rPr>
              <w:t xml:space="preserve"> Карагайского</w:t>
            </w:r>
            <w:r>
              <w:rPr>
                <w:rFonts w:ascii="Times New Roman" w:hAnsi="Times New Roman"/>
                <w:sz w:val="24"/>
              </w:rPr>
              <w:t xml:space="preserve"> сельско</w:t>
            </w:r>
            <w:r>
              <w:rPr>
                <w:rFonts w:ascii="Times New Roman" w:hAnsi="Times New Roman"/>
                <w:sz w:val="24"/>
              </w:rPr>
              <w:t>го</w:t>
            </w:r>
            <w:r>
              <w:rPr>
                <w:rFonts w:ascii="Times New Roman" w:hAnsi="Times New Roman"/>
                <w:sz w:val="24"/>
              </w:rPr>
              <w:t xml:space="preserve"> поселени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>, Специалист</w:t>
            </w:r>
          </w:p>
          <w:p w14:paraId="8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50"/>
        </w:trPr>
        <w:tc>
          <w:tcPr>
            <w:tcW w:type="dxa" w:w="1020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pStyle w:val="Style_6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>Предостережение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Контрольный орган объявляет контролируемому лицу предостережение  о недопустимости нарушения обязательных требований при наличии у контрольного (надзорного)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</w:t>
            </w:r>
            <w:r>
              <w:rPr>
                <w:rFonts w:ascii="Times New Roman" w:hAnsi="Times New Roman"/>
                <w:sz w:val="24"/>
              </w:rPr>
              <w:t>вреда (ущерба) охраняемым законом ценностям.</w:t>
            </w:r>
          </w:p>
          <w:p w14:paraId="9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4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Предостережение составляется по форме, утвержденной приказом Минэкономразвития России от 31.03.2021 № 151 « О типовых формах документов, используемых контрольным (надзорным) органом»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>
              <w:rPr>
                <w:rFonts w:ascii="Times New Roman" w:hAnsi="Times New Roman"/>
                <w:sz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</w:rPr>
              <w:t>МО</w:t>
            </w:r>
            <w:r>
              <w:rPr>
                <w:rFonts w:ascii="Times New Roman" w:hAnsi="Times New Roman"/>
                <w:sz w:val="24"/>
              </w:rPr>
              <w:t xml:space="preserve"> Катандинского сельского поселения</w:t>
            </w:r>
          </w:p>
          <w:p w14:paraId="9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9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458"/>
        </w:trPr>
        <w:tc>
          <w:tcPr>
            <w:tcW w:type="dxa" w:w="10206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Профилактический визит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4.</w:t>
            </w:r>
          </w:p>
        </w:tc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14:paraId="9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9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проведении профилактического визита гражданам, организациям не могут выдаваться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</w:t>
            </w:r>
            <w:r>
              <w:rPr>
                <w:rFonts w:ascii="Times New Roman" w:hAnsi="Times New Roman"/>
                <w:sz w:val="24"/>
              </w:rPr>
              <w:t>/</w:t>
            </w:r>
          </w:p>
          <w:p w14:paraId="A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 мере необходимости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Лицо, уполномоченное на ведение муниципального земельного контроля</w:t>
            </w:r>
          </w:p>
          <w:p w14:paraId="A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A4000000">
      <w:pPr>
        <w:widowControl w:val="0"/>
        <w:spacing w:after="0" w:line="240" w:lineRule="atLeast"/>
        <w:ind/>
        <w:jc w:val="center"/>
        <w:rPr>
          <w:rFonts w:ascii="Times New Roman" w:hAnsi="Times New Roman"/>
          <w:b w:val="1"/>
          <w:sz w:val="24"/>
        </w:rPr>
      </w:pPr>
    </w:p>
    <w:p w14:paraId="A5000000">
      <w:pPr>
        <w:widowControl w:val="0"/>
        <w:spacing w:after="0" w:line="240" w:lineRule="atLeast"/>
        <w:ind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 xml:space="preserve">Раздел </w:t>
      </w:r>
      <w:r>
        <w:rPr>
          <w:rFonts w:ascii="Times New Roman" w:hAnsi="Times New Roman"/>
          <w:b w:val="1"/>
          <w:i w:val="1"/>
          <w:sz w:val="24"/>
        </w:rPr>
        <w:t>4</w:t>
      </w:r>
      <w:r>
        <w:rPr>
          <w:rFonts w:ascii="Times New Roman" w:hAnsi="Times New Roman"/>
          <w:b w:val="1"/>
          <w:i w:val="1"/>
          <w:sz w:val="24"/>
        </w:rPr>
        <w:t>. Показатели результативности и эффективности</w:t>
      </w:r>
    </w:p>
    <w:p w14:paraId="A6000000">
      <w:pPr>
        <w:widowControl w:val="0"/>
        <w:spacing w:after="0" w:line="240" w:lineRule="atLeast"/>
        <w:ind w:firstLine="0" w:left="360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программы профилактики</w:t>
      </w:r>
    </w:p>
    <w:p w14:paraId="A7000000">
      <w:pPr>
        <w:widowControl w:val="0"/>
        <w:spacing w:after="0" w:line="240" w:lineRule="auto"/>
        <w:ind w:firstLine="0" w:left="720"/>
        <w:jc w:val="both"/>
        <w:rPr>
          <w:rFonts w:ascii="Times New Roman" w:hAnsi="Times New Roman"/>
          <w:sz w:val="24"/>
        </w:rPr>
      </w:pPr>
    </w:p>
    <w:p w14:paraId="A8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Основным показателем результативности и эффективности реализации мероприятий программы профилактики является минимизация причинения вреда (ущерба) охраняемым законом ценностям.</w:t>
      </w:r>
    </w:p>
    <w:p w14:paraId="A9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оценки результативности и эффективности реализации мероприятий программы профилактики применяются следующие показатели:</w:t>
      </w:r>
    </w:p>
    <w:p w14:paraId="AA000000">
      <w:pPr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4"/>
        </w:rPr>
      </w:pPr>
    </w:p>
    <w:tbl>
      <w:tblPr>
        <w:tblStyle w:val="Style_1"/>
        <w:tblInd w:type="dxa" w:w="62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64"/>
        <w:gridCol w:w="7185"/>
        <w:gridCol w:w="2394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7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показателя</w:t>
            </w:r>
          </w:p>
        </w:tc>
        <w:tc>
          <w:tcPr>
            <w:tcW w:type="dxa" w:w="2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Величина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7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AF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Полнота информации, размещенной на 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type="dxa" w:w="2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100 %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71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2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type="dxa" w:w="23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100 % от числа обратившихся</w:t>
            </w:r>
          </w:p>
        </w:tc>
      </w:tr>
    </w:tbl>
    <w:p w14:paraId="B4000000">
      <w:pPr>
        <w:spacing w:after="0" w:before="240" w:line="240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осуществлении муниципального земельного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</w:t>
      </w:r>
    </w:p>
    <w:p w14:paraId="B5000000">
      <w:pPr>
        <w:spacing w:after="0" w:line="240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Реализация Программы осуществляется путем исполнения организационных и  профилактических мероприятий в соответствии с Планом профилактических мероприятий.</w:t>
      </w:r>
    </w:p>
    <w:p w14:paraId="B6000000">
      <w:pPr>
        <w:spacing w:line="240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профилактической работы включаются в годовой доклад об осуществлении муниципального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</w:rPr>
        <w:t>земельного контроля на территории МО</w:t>
      </w:r>
      <w:r>
        <w:rPr>
          <w:rFonts w:ascii="Times New Roman" w:hAnsi="Times New Roman"/>
          <w:sz w:val="24"/>
        </w:rPr>
        <w:t xml:space="preserve"> Карагайского</w:t>
      </w:r>
      <w:r>
        <w:rPr>
          <w:rFonts w:ascii="Times New Roman" w:hAnsi="Times New Roman"/>
          <w:sz w:val="24"/>
        </w:rPr>
        <w:t xml:space="preserve"> сельско</w:t>
      </w:r>
      <w:r>
        <w:rPr>
          <w:rFonts w:ascii="Times New Roman" w:hAnsi="Times New Roman"/>
          <w:sz w:val="24"/>
        </w:rPr>
        <w:t>го</w:t>
      </w:r>
      <w:r>
        <w:rPr>
          <w:rFonts w:ascii="Times New Roman" w:hAnsi="Times New Roman"/>
          <w:sz w:val="24"/>
        </w:rPr>
        <w:t xml:space="preserve"> поселени</w:t>
      </w:r>
      <w:r>
        <w:rPr>
          <w:rFonts w:ascii="Times New Roman" w:hAnsi="Times New Roman"/>
          <w:sz w:val="24"/>
        </w:rPr>
        <w:t>я.</w:t>
      </w:r>
    </w:p>
    <w:p w14:paraId="B7000000">
      <w:pPr>
        <w:ind w:firstLine="708" w:left="0"/>
        <w:rPr>
          <w:rFonts w:ascii="Times New Roman" w:hAnsi="Times New Roman"/>
        </w:rPr>
      </w:pPr>
    </w:p>
    <w:sectPr>
      <w:pgSz w:h="16838" w:orient="portrait" w:w="11906"/>
      <w:pgMar w:bottom="425" w:footer="709" w:gutter="0" w:header="709" w:left="1134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46"/>
      </w:pPr>
    </w:lvl>
    <w:lvl w:ilvl="1">
      <w:start w:val="1"/>
      <w:numFmt w:val="lowerLetter"/>
      <w:lvlText w:val="%2."/>
      <w:lvlJc w:val="left"/>
      <w:pPr>
        <w:ind w:hanging="360" w:left="1866"/>
      </w:pPr>
    </w:lvl>
    <w:lvl w:ilvl="2">
      <w:start w:val="1"/>
      <w:numFmt w:val="lowerRoman"/>
      <w:lvlText w:val="%3."/>
      <w:lvlJc w:val="right"/>
      <w:pPr>
        <w:ind w:hanging="180" w:left="2586"/>
      </w:pPr>
    </w:lvl>
    <w:lvl w:ilvl="3">
      <w:start w:val="1"/>
      <w:numFmt w:val="decimal"/>
      <w:lvlText w:val="%4."/>
      <w:lvlJc w:val="left"/>
      <w:pPr>
        <w:ind w:hanging="360" w:left="3306"/>
      </w:pPr>
    </w:lvl>
    <w:lvl w:ilvl="4">
      <w:start w:val="1"/>
      <w:numFmt w:val="lowerLetter"/>
      <w:lvlText w:val="%5."/>
      <w:lvlJc w:val="left"/>
      <w:pPr>
        <w:ind w:hanging="360" w:left="4026"/>
      </w:pPr>
    </w:lvl>
    <w:lvl w:ilvl="5">
      <w:start w:val="1"/>
      <w:numFmt w:val="lowerRoman"/>
      <w:lvlText w:val="%6."/>
      <w:lvlJc w:val="right"/>
      <w:pPr>
        <w:ind w:hanging="180" w:left="4746"/>
      </w:pPr>
    </w:lvl>
    <w:lvl w:ilvl="6">
      <w:start w:val="1"/>
      <w:numFmt w:val="decimal"/>
      <w:lvlText w:val="%7."/>
      <w:lvlJc w:val="left"/>
      <w:pPr>
        <w:ind w:hanging="360" w:left="5466"/>
      </w:pPr>
    </w:lvl>
    <w:lvl w:ilvl="7">
      <w:start w:val="1"/>
      <w:numFmt w:val="lowerLetter"/>
      <w:lvlText w:val="%8."/>
      <w:lvlJc w:val="left"/>
      <w:pPr>
        <w:ind w:hanging="360" w:left="6186"/>
      </w:pPr>
    </w:lvl>
    <w:lvl w:ilvl="8">
      <w:start w:val="1"/>
      <w:numFmt w:val="lowerRoman"/>
      <w:lvlText w:val="%9."/>
      <w:lvlJc w:val="right"/>
      <w:pPr>
        <w:ind w:hanging="180" w:left="6906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360"/>
      </w:pPr>
      <w:rPr>
        <w:color w:val="000000"/>
      </w:rPr>
    </w:lvl>
    <w:lvl w:ilvl="1">
      <w:start w:val="1"/>
      <w:numFmt w:val="decimal"/>
      <w:lvlText w:val="%1.%2."/>
      <w:lvlJc w:val="left"/>
      <w:pPr>
        <w:ind w:hanging="360" w:left="360"/>
      </w:pPr>
      <w:rPr>
        <w:color w:val="000000"/>
      </w:rPr>
    </w:lvl>
    <w:lvl w:ilvl="2">
      <w:start w:val="1"/>
      <w:numFmt w:val="decimal"/>
      <w:lvlText w:val="%3)"/>
      <w:lvlJc w:val="left"/>
      <w:pPr>
        <w:ind w:hanging="720" w:left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hanging="720" w:left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hanging="1080" w:left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hanging="1080" w:left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hanging="1440" w:left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hanging="1440" w:left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hanging="1800" w:left="1800"/>
      </w:pPr>
      <w:rPr>
        <w:color w:val="000000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12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98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70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42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14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8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58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30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020"/>
      </w:pPr>
      <w:rPr>
        <w:rFonts w:ascii="Wingdings" w:hAnsi="Wingdings"/>
      </w:rPr>
    </w:lvl>
  </w:abstractNum>
  <w:abstractNum w:abstractNumId="3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360"/>
      </w:pPr>
    </w:lvl>
    <w:lvl w:ilvl="2">
      <w:start w:val="1"/>
      <w:numFmt w:val="decimal"/>
      <w:lvlText w:val="%1.%2.%3."/>
      <w:lvlJc w:val="left"/>
      <w:pPr>
        <w:ind w:hanging="720" w:left="720"/>
      </w:pPr>
      <w:rPr>
        <w:b w:val="0"/>
      </w:r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5">
    <w:lvl w:ilvl="0">
      <w:start w:val="1"/>
      <w:numFmt w:val="decimal"/>
      <w:lvlText w:val="%1)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5" w:type="paragraph">
    <w:name w:val="ConsPlusNormal"/>
    <w:link w:val="Style_5_ch"/>
    <w:pPr>
      <w:widowControl w:val="0"/>
      <w:spacing w:after="0" w:line="240" w:lineRule="auto"/>
      <w:ind/>
    </w:pPr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7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basedOn w:val="Style_7"/>
    <w:next w:val="Style_7"/>
    <w:link w:val="Style_15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66091"/>
      <w:sz w:val="28"/>
    </w:rPr>
  </w:style>
  <w:style w:styleId="Style_15_ch" w:type="character">
    <w:name w:val="heading 1"/>
    <w:basedOn w:val="Style_7_ch"/>
    <w:link w:val="Style_15"/>
    <w:rPr>
      <w:rFonts w:asciiTheme="majorAscii" w:hAnsiTheme="majorHAnsi"/>
      <w:b w:val="1"/>
      <w:color w:themeColor="accent1" w:themeShade="BF" w:val="366091"/>
      <w:sz w:val="28"/>
    </w:rPr>
  </w:style>
  <w:style w:styleId="Style_2" w:type="paragraph">
    <w:name w:val="header"/>
    <w:basedOn w:val="Style_7"/>
    <w:link w:val="Style_2_ch"/>
    <w:pPr>
      <w:tabs>
        <w:tab w:leader="none" w:pos="4153" w:val="center"/>
        <w:tab w:leader="none" w:pos="8306" w:val="right"/>
      </w:tabs>
      <w:spacing w:after="0" w:line="240" w:lineRule="auto"/>
      <w:ind/>
    </w:pPr>
    <w:rPr>
      <w:rFonts w:ascii="Times New Roman" w:hAnsi="Times New Roman"/>
      <w:sz w:val="20"/>
    </w:rPr>
  </w:style>
  <w:style w:styleId="Style_2_ch" w:type="character">
    <w:name w:val="header"/>
    <w:basedOn w:val="Style_7_ch"/>
    <w:link w:val="Style_2"/>
    <w:rPr>
      <w:rFonts w:ascii="Times New Roman" w:hAnsi="Times New Roman"/>
      <w:sz w:val="2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6" w:type="paragraph">
    <w:name w:val="heading 8"/>
    <w:basedOn w:val="Style_7"/>
    <w:next w:val="Style_7"/>
    <w:link w:val="Style_6_ch"/>
    <w:uiPriority w:val="9"/>
    <w:qFormat/>
    <w:pPr>
      <w:keepNext w:val="1"/>
      <w:spacing w:after="0" w:line="240" w:lineRule="auto"/>
      <w:ind w:firstLine="0" w:left="-142"/>
      <w:jc w:val="center"/>
      <w:outlineLvl w:val="7"/>
    </w:pPr>
    <w:rPr>
      <w:rFonts w:ascii="Times New Roman" w:hAnsi="Times New Roman"/>
      <w:b w:val="1"/>
      <w:sz w:val="20"/>
    </w:rPr>
  </w:style>
  <w:style w:styleId="Style_6_ch" w:type="character">
    <w:name w:val="heading 8"/>
    <w:basedOn w:val="Style_7_ch"/>
    <w:link w:val="Style_6"/>
    <w:rPr>
      <w:rFonts w:ascii="Times New Roman" w:hAnsi="Times New Roman"/>
      <w:b w:val="1"/>
      <w:sz w:val="20"/>
    </w:rPr>
  </w:style>
  <w:style w:styleId="Style_18" w:type="paragraph">
    <w:name w:val="toc 1"/>
    <w:next w:val="Style_7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Balloon Text"/>
    <w:basedOn w:val="Style_7"/>
    <w:link w:val="Style_20_ch"/>
    <w:pPr>
      <w:spacing w:after="0" w:line="240" w:lineRule="auto"/>
      <w:ind/>
    </w:pPr>
    <w:rPr>
      <w:rFonts w:ascii="Segoe UI" w:hAnsi="Segoe UI"/>
      <w:sz w:val="18"/>
    </w:rPr>
  </w:style>
  <w:style w:styleId="Style_20_ch" w:type="character">
    <w:name w:val="Balloon Text"/>
    <w:basedOn w:val="Style_7_ch"/>
    <w:link w:val="Style_20"/>
    <w:rPr>
      <w:rFonts w:ascii="Segoe UI" w:hAnsi="Segoe UI"/>
      <w:sz w:val="18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4" w:type="paragraph">
    <w:name w:val="List Paragraph"/>
    <w:basedOn w:val="Style_7"/>
    <w:link w:val="Style_4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4_ch" w:type="character">
    <w:name w:val="List Paragraph"/>
    <w:basedOn w:val="Style_7_ch"/>
    <w:link w:val="Style_4"/>
    <w:rPr>
      <w:rFonts w:ascii="Times New Roman" w:hAnsi="Times New Roman"/>
      <w:sz w:val="24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7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4"/>
    <w:basedOn w:val="Style_1"/>
    <w:pPr>
      <w:spacing w:after="0" w:line="240" w:lineRule="auto"/>
      <w:ind/>
    </w:pPr>
    <w:rPr>
      <w:rFonts w:ascii="Calibri" w:hAnsi="Calibri"/>
    </w:r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2026-09-29T03:00:25Z</dcterms:modified>
</cp:coreProperties>
</file>